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B83D" w14:textId="77777777" w:rsidR="001A270A" w:rsidRDefault="001A270A" w:rsidP="001A270A">
      <w:pPr>
        <w:ind w:left="515" w:right="520"/>
        <w:jc w:val="center"/>
        <w:rPr>
          <w:sz w:val="20"/>
        </w:rPr>
      </w:pPr>
      <w:r>
        <w:rPr>
          <w:sz w:val="20"/>
        </w:rPr>
        <w:t>INFORMATION FOR STUDENTS AND CURRICULUM</w:t>
      </w:r>
    </w:p>
    <w:tbl>
      <w:tblPr>
        <w:tblW w:w="0" w:type="auto"/>
        <w:tblInd w:w="179" w:type="dxa"/>
        <w:tblBorders>
          <w:top w:val="thinThickMediumGap" w:sz="6" w:space="0" w:color="FF9900"/>
          <w:left w:val="thinThickMediumGap" w:sz="6" w:space="0" w:color="FF9900"/>
          <w:bottom w:val="thinThickMediumGap" w:sz="6" w:space="0" w:color="FF9900"/>
          <w:right w:val="thinThickMediumGap" w:sz="6" w:space="0" w:color="FF9900"/>
          <w:insideH w:val="thinThickMediumGap" w:sz="6" w:space="0" w:color="FF9900"/>
          <w:insideV w:val="thinThickMediumGap" w:sz="6" w:space="0" w:color="FF9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44"/>
        <w:gridCol w:w="259"/>
        <w:gridCol w:w="979"/>
        <w:gridCol w:w="758"/>
        <w:gridCol w:w="2191"/>
        <w:gridCol w:w="1397"/>
      </w:tblGrid>
      <w:tr w:rsidR="001A270A" w14:paraId="6E55F830" w14:textId="77777777" w:rsidTr="001A270A">
        <w:trPr>
          <w:trHeight w:val="342"/>
        </w:trPr>
        <w:tc>
          <w:tcPr>
            <w:tcW w:w="1452" w:type="dxa"/>
            <w:gridSpan w:val="2"/>
            <w:tcBorders>
              <w:top w:val="nil"/>
              <w:left w:val="nil"/>
              <w:bottom w:val="thinThickMediumGap" w:sz="6" w:space="0" w:color="FF9900"/>
              <w:right w:val="single" w:sz="12" w:space="0" w:color="FF9900"/>
            </w:tcBorders>
          </w:tcPr>
          <w:p w14:paraId="3A9BBDCC" w14:textId="77777777" w:rsidR="001A270A" w:rsidRDefault="001A27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000000"/>
              <w:left w:val="single" w:sz="12" w:space="0" w:color="FF9900"/>
              <w:bottom w:val="single" w:sz="4" w:space="0" w:color="000000"/>
              <w:right w:val="thinThickMediumGap" w:sz="6" w:space="0" w:color="FF9900"/>
            </w:tcBorders>
            <w:hideMark/>
          </w:tcPr>
          <w:p w14:paraId="03CD1973" w14:textId="77777777" w:rsidR="001A270A" w:rsidRDefault="001A270A">
            <w:pPr>
              <w:pStyle w:val="TableParagraph"/>
              <w:tabs>
                <w:tab w:val="left" w:pos="2537"/>
              </w:tabs>
              <w:spacing w:before="76"/>
              <w:ind w:left="126"/>
              <w:rPr>
                <w:i/>
                <w:sz w:val="18"/>
              </w:rPr>
            </w:pPr>
            <w:r>
              <w:rPr>
                <w:i/>
                <w:sz w:val="18"/>
              </w:rPr>
              <w:t>Course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title:</w:t>
            </w:r>
            <w:r>
              <w:rPr>
                <w:i/>
                <w:sz w:val="18"/>
              </w:rPr>
              <w:tab/>
              <w:t>Private International Law</w:t>
            </w:r>
          </w:p>
        </w:tc>
      </w:tr>
      <w:tr w:rsidR="001A270A" w14:paraId="7953914B" w14:textId="77777777" w:rsidTr="001A270A">
        <w:trPr>
          <w:trHeight w:val="322"/>
        </w:trPr>
        <w:tc>
          <w:tcPr>
            <w:tcW w:w="1452" w:type="dxa"/>
            <w:gridSpan w:val="2"/>
            <w:tcBorders>
              <w:top w:val="thickThinMediumGap" w:sz="6" w:space="0" w:color="FF99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381B" w14:textId="77777777" w:rsidR="001A270A" w:rsidRDefault="001A270A">
            <w:pPr>
              <w:pStyle w:val="TableParagraph"/>
              <w:spacing w:before="76"/>
              <w:ind w:left="285"/>
              <w:rPr>
                <w:i/>
                <w:sz w:val="18"/>
              </w:rPr>
            </w:pPr>
            <w:r>
              <w:rPr>
                <w:i/>
                <w:sz w:val="18"/>
              </w:rPr>
              <w:t>Course code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4897" w14:textId="77777777" w:rsidR="001A270A" w:rsidRDefault="001A270A">
            <w:pPr>
              <w:pStyle w:val="TableParagraph"/>
              <w:spacing w:before="76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Course status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882C" w14:textId="77777777" w:rsidR="001A270A" w:rsidRDefault="001A270A">
            <w:pPr>
              <w:pStyle w:val="TableParagraph"/>
              <w:spacing w:before="76"/>
              <w:ind w:left="-12"/>
              <w:rPr>
                <w:i/>
                <w:sz w:val="18"/>
              </w:rPr>
            </w:pPr>
            <w:r>
              <w:rPr>
                <w:i/>
                <w:sz w:val="18"/>
              </w:rPr>
              <w:t>Semester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C61E" w14:textId="77777777" w:rsidR="001A270A" w:rsidRDefault="001A270A">
            <w:pPr>
              <w:pStyle w:val="TableParagraph"/>
              <w:spacing w:before="76"/>
              <w:ind w:left="194" w:right="18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Number of ECTS credits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FF9900"/>
            </w:tcBorders>
            <w:hideMark/>
          </w:tcPr>
          <w:p w14:paraId="7C8E4755" w14:textId="77777777" w:rsidR="001A270A" w:rsidRDefault="001A270A">
            <w:pPr>
              <w:pStyle w:val="TableParagraph"/>
              <w:spacing w:before="76"/>
              <w:ind w:left="298" w:right="26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Class load</w:t>
            </w:r>
          </w:p>
        </w:tc>
      </w:tr>
      <w:tr w:rsidR="001A270A" w14:paraId="0CDB127B" w14:textId="77777777" w:rsidTr="001A270A">
        <w:trPr>
          <w:trHeight w:val="374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EF8C" w14:textId="77777777" w:rsidR="001A270A" w:rsidRDefault="001A27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86BB" w14:textId="77777777" w:rsidR="001A270A" w:rsidRDefault="001A270A">
            <w:pPr>
              <w:pStyle w:val="TableParagraph"/>
              <w:spacing w:before="84"/>
              <w:ind w:left="203"/>
              <w:rPr>
                <w:i/>
                <w:sz w:val="18"/>
              </w:rPr>
            </w:pPr>
            <w:r>
              <w:rPr>
                <w:i/>
                <w:sz w:val="18"/>
              </w:rPr>
              <w:t>compulsory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889B" w14:textId="77777777" w:rsidR="001A270A" w:rsidRDefault="001A270A">
            <w:pPr>
              <w:pStyle w:val="TableParagraph"/>
              <w:spacing w:before="84"/>
              <w:ind w:left="281" w:right="2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VI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5F86" w14:textId="77777777" w:rsidR="001A270A" w:rsidRDefault="001A270A">
            <w:pPr>
              <w:pStyle w:val="TableParagraph"/>
              <w:spacing w:before="84"/>
              <w:ind w:left="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FF9900"/>
            </w:tcBorders>
            <w:hideMark/>
          </w:tcPr>
          <w:p w14:paraId="349680E1" w14:textId="77777777" w:rsidR="001A270A" w:rsidRDefault="001A270A">
            <w:pPr>
              <w:pStyle w:val="TableParagraph"/>
              <w:spacing w:before="84"/>
              <w:ind w:left="298" w:right="263"/>
              <w:jc w:val="center"/>
              <w:rPr>
                <w:sz w:val="18"/>
              </w:rPr>
            </w:pPr>
            <w:r>
              <w:rPr>
                <w:sz w:val="18"/>
              </w:rPr>
              <w:t>4+1</w:t>
            </w:r>
          </w:p>
        </w:tc>
      </w:tr>
      <w:tr w:rsidR="001A270A" w14:paraId="568894C4" w14:textId="77777777" w:rsidTr="001A270A">
        <w:trPr>
          <w:trHeight w:val="232"/>
        </w:trPr>
        <w:tc>
          <w:tcPr>
            <w:tcW w:w="7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AAE3" w14:textId="77777777" w:rsidR="001A270A" w:rsidRDefault="001A270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i/>
                <w:sz w:val="18"/>
              </w:rPr>
              <w:t xml:space="preserve">Study program: </w:t>
            </w:r>
            <w:r>
              <w:rPr>
                <w:sz w:val="18"/>
              </w:rPr>
              <w:t>Basic academic studies at the Faculty of Law</w:t>
            </w:r>
          </w:p>
        </w:tc>
      </w:tr>
      <w:tr w:rsidR="001A270A" w14:paraId="6F4A4CF4" w14:textId="77777777" w:rsidTr="001A270A">
        <w:trPr>
          <w:trHeight w:val="266"/>
        </w:trPr>
        <w:tc>
          <w:tcPr>
            <w:tcW w:w="7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F5EC" w14:textId="77777777" w:rsidR="001A270A" w:rsidRDefault="001A270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i/>
                <w:sz w:val="18"/>
              </w:rPr>
              <w:t xml:space="preserve">Prerequisites: </w:t>
            </w:r>
            <w:r>
              <w:rPr>
                <w:sz w:val="18"/>
              </w:rPr>
              <w:t>none</w:t>
            </w:r>
          </w:p>
        </w:tc>
      </w:tr>
      <w:tr w:rsidR="001A270A" w14:paraId="64014BDB" w14:textId="77777777" w:rsidTr="001A270A">
        <w:trPr>
          <w:trHeight w:val="827"/>
        </w:trPr>
        <w:tc>
          <w:tcPr>
            <w:tcW w:w="7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0DE7" w14:textId="77777777" w:rsidR="001A270A" w:rsidRDefault="001A270A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Course objectives</w:t>
            </w:r>
          </w:p>
          <w:p w14:paraId="425D01B4" w14:textId="4ADEF289" w:rsidR="001A270A" w:rsidRDefault="001A270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Introducing students to the basic concepts of </w:t>
            </w:r>
            <w:r w:rsidR="002C15BC">
              <w:rPr>
                <w:sz w:val="18"/>
              </w:rPr>
              <w:t>P</w:t>
            </w:r>
            <w:r>
              <w:rPr>
                <w:sz w:val="18"/>
              </w:rPr>
              <w:t xml:space="preserve">rivate </w:t>
            </w:r>
            <w:r w:rsidR="002C15BC">
              <w:rPr>
                <w:sz w:val="18"/>
              </w:rPr>
              <w:t>I</w:t>
            </w:r>
            <w:r>
              <w:rPr>
                <w:sz w:val="18"/>
              </w:rPr>
              <w:t xml:space="preserve">nternational </w:t>
            </w:r>
            <w:r w:rsidR="002C15BC">
              <w:rPr>
                <w:sz w:val="18"/>
              </w:rPr>
              <w:t>L</w:t>
            </w:r>
            <w:r>
              <w:rPr>
                <w:sz w:val="18"/>
              </w:rPr>
              <w:t xml:space="preserve">aw in the fields of: </w:t>
            </w:r>
            <w:r w:rsidR="002C15BC">
              <w:rPr>
                <w:sz w:val="18"/>
              </w:rPr>
              <w:t>applicable</w:t>
            </w:r>
            <w:r>
              <w:rPr>
                <w:sz w:val="18"/>
              </w:rPr>
              <w:t xml:space="preserve"> law, international jurisdiction, recognition and enforcement of foreign</w:t>
            </w:r>
          </w:p>
          <w:p w14:paraId="0517255E" w14:textId="6AD3864F" w:rsidR="001A270A" w:rsidRDefault="001A270A">
            <w:pPr>
              <w:pStyle w:val="TableParagraph"/>
              <w:spacing w:before="1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court decisions and rights of </w:t>
            </w:r>
            <w:r w:rsidR="001D6B46">
              <w:rPr>
                <w:sz w:val="18"/>
              </w:rPr>
              <w:t>foreigners</w:t>
            </w:r>
            <w:r>
              <w:rPr>
                <w:sz w:val="18"/>
              </w:rPr>
              <w:t xml:space="preserve"> to enter into civil law relations</w:t>
            </w:r>
          </w:p>
        </w:tc>
      </w:tr>
      <w:tr w:rsidR="001A270A" w14:paraId="33B6D75A" w14:textId="77777777" w:rsidTr="001A270A">
        <w:trPr>
          <w:trHeight w:val="205"/>
        </w:trPr>
        <w:tc>
          <w:tcPr>
            <w:tcW w:w="7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000E" w14:textId="77777777" w:rsidR="001A270A" w:rsidRDefault="001A270A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First and last name of the teacher and teaching assistant: Prof. </w:t>
            </w:r>
            <w:proofErr w:type="spellStart"/>
            <w:r>
              <w:rPr>
                <w:i/>
                <w:sz w:val="18"/>
              </w:rPr>
              <w:t>dr</w:t>
            </w:r>
            <w:proofErr w:type="spellEnd"/>
            <w:r>
              <w:rPr>
                <w:i/>
                <w:sz w:val="18"/>
              </w:rPr>
              <w:t xml:space="preserve"> Maja </w:t>
            </w:r>
            <w:proofErr w:type="spellStart"/>
            <w:r>
              <w:rPr>
                <w:i/>
                <w:sz w:val="18"/>
              </w:rPr>
              <w:t>Kostić-Mandić</w:t>
            </w:r>
            <w:proofErr w:type="spellEnd"/>
          </w:p>
        </w:tc>
      </w:tr>
      <w:tr w:rsidR="001A270A" w14:paraId="5C6D0A31" w14:textId="77777777" w:rsidTr="001A270A">
        <w:trPr>
          <w:trHeight w:val="414"/>
        </w:trPr>
        <w:tc>
          <w:tcPr>
            <w:tcW w:w="7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6F5D" w14:textId="28DC6D60" w:rsidR="001A270A" w:rsidRDefault="001A270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i/>
                <w:sz w:val="18"/>
              </w:rPr>
              <w:t xml:space="preserve">Study methods: </w:t>
            </w:r>
            <w:r>
              <w:rPr>
                <w:sz w:val="18"/>
              </w:rPr>
              <w:t>Lectures, exercises, practic</w:t>
            </w:r>
            <w:r w:rsidR="001D6B46">
              <w:rPr>
                <w:sz w:val="18"/>
              </w:rPr>
              <w:t>al</w:t>
            </w:r>
            <w:r>
              <w:rPr>
                <w:sz w:val="18"/>
              </w:rPr>
              <w:t xml:space="preserve"> classes, consultations</w:t>
            </w:r>
          </w:p>
        </w:tc>
      </w:tr>
      <w:tr w:rsidR="001A270A" w14:paraId="79586564" w14:textId="77777777" w:rsidTr="001A270A">
        <w:trPr>
          <w:trHeight w:val="205"/>
        </w:trPr>
        <w:tc>
          <w:tcPr>
            <w:tcW w:w="7036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E2CD79C" w14:textId="77777777" w:rsidR="001A270A" w:rsidRDefault="001A270A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TEACHING PLAN</w:t>
            </w:r>
          </w:p>
        </w:tc>
      </w:tr>
      <w:tr w:rsidR="001A270A" w14:paraId="4F7901A8" w14:textId="77777777" w:rsidTr="001A270A">
        <w:trPr>
          <w:trHeight w:val="621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B8D8" w14:textId="77777777" w:rsidR="001A270A" w:rsidRDefault="001A270A">
            <w:pPr>
              <w:pStyle w:val="TableParagraph"/>
              <w:spacing w:before="2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Week</w:t>
            </w:r>
          </w:p>
          <w:p w14:paraId="015E18B4" w14:textId="77777777" w:rsidR="001A270A" w:rsidRDefault="001A270A">
            <w:pPr>
              <w:pStyle w:val="TableParagraph"/>
              <w:spacing w:before="3" w:line="206" w:lineRule="exact"/>
              <w:ind w:left="105"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and data</w:t>
            </w:r>
          </w:p>
        </w:tc>
        <w:tc>
          <w:tcPr>
            <w:tcW w:w="632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69E4" w14:textId="77777777" w:rsidR="001A270A" w:rsidRDefault="001A270A">
            <w:pPr>
              <w:pStyle w:val="TableParagraph"/>
              <w:spacing w:before="105"/>
              <w:ind w:left="126" w:right="98" w:firstLine="170"/>
              <w:rPr>
                <w:i/>
                <w:sz w:val="18"/>
              </w:rPr>
            </w:pPr>
            <w:r>
              <w:rPr>
                <w:i/>
                <w:sz w:val="18"/>
              </w:rPr>
              <w:t>Name of methodological units for lectures (T), exercises (E) and other teaching contents (O)Planned examination method (EM: homework, tests, mid-term exams...)</w:t>
            </w:r>
          </w:p>
        </w:tc>
      </w:tr>
      <w:tr w:rsidR="001A270A" w14:paraId="0486832F" w14:textId="77777777" w:rsidTr="001A270A">
        <w:trPr>
          <w:trHeight w:val="2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041675A" w14:textId="77777777" w:rsidR="001A270A" w:rsidRDefault="001A270A">
            <w:pPr>
              <w:pStyle w:val="TableParagraph"/>
              <w:spacing w:line="186" w:lineRule="exact"/>
              <w:ind w:left="81"/>
              <w:rPr>
                <w:sz w:val="12"/>
              </w:rPr>
            </w:pPr>
            <w:r>
              <w:rPr>
                <w:position w:val="-5"/>
                <w:sz w:val="18"/>
              </w:rPr>
              <w:t>I –</w:t>
            </w:r>
            <w:r>
              <w:rPr>
                <w:sz w:val="12"/>
              </w:rPr>
              <w:t>1)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1826DDA3" w14:textId="77777777" w:rsidR="001A270A" w:rsidRDefault="001A270A">
            <w:pPr>
              <w:pStyle w:val="TableParagraph"/>
              <w:spacing w:line="186" w:lineRule="exact"/>
              <w:ind w:left="66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  <w:r>
              <w:rPr>
                <w:i/>
                <w:sz w:val="18"/>
                <w:vertAlign w:val="superscript"/>
              </w:rPr>
              <w:t>2)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6116619" w14:textId="77777777" w:rsidR="001A270A" w:rsidRDefault="001A270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Introductory remarks on the course and literature</w:t>
            </w:r>
          </w:p>
        </w:tc>
      </w:tr>
      <w:tr w:rsidR="001A270A" w14:paraId="193A3E70" w14:textId="77777777" w:rsidTr="001A270A">
        <w:trPr>
          <w:trHeight w:val="412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7635B18" w14:textId="77777777" w:rsidR="001A270A" w:rsidRDefault="001A270A">
            <w:pPr>
              <w:pStyle w:val="TableParagraph"/>
              <w:spacing w:before="103"/>
              <w:ind w:left="81"/>
              <w:rPr>
                <w:sz w:val="18"/>
              </w:rPr>
            </w:pPr>
            <w:r>
              <w:rPr>
                <w:sz w:val="18"/>
              </w:rPr>
              <w:t>II-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79AA8A52" w14:textId="77777777" w:rsidR="001A270A" w:rsidRDefault="001A270A">
            <w:pPr>
              <w:pStyle w:val="TableParagraph"/>
              <w:spacing w:before="103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E896D7E" w14:textId="1A940913" w:rsidR="001A270A" w:rsidRDefault="001A270A">
            <w:pPr>
              <w:pStyle w:val="TableParagraph"/>
              <w:spacing w:before="3" w:line="206" w:lineRule="exact"/>
              <w:ind w:left="106" w:right="238"/>
              <w:rPr>
                <w:sz w:val="18"/>
              </w:rPr>
            </w:pPr>
            <w:r>
              <w:rPr>
                <w:sz w:val="18"/>
              </w:rPr>
              <w:t xml:space="preserve">Concept and subject of </w:t>
            </w:r>
            <w:r w:rsidR="001D6B46">
              <w:rPr>
                <w:sz w:val="18"/>
              </w:rPr>
              <w:t>Private International Law</w:t>
            </w:r>
            <w:r>
              <w:rPr>
                <w:sz w:val="18"/>
              </w:rPr>
              <w:t>, relations with other branches of law, sources (including EU law)</w:t>
            </w:r>
          </w:p>
        </w:tc>
      </w:tr>
      <w:tr w:rsidR="001A270A" w14:paraId="37F83A0C" w14:textId="77777777" w:rsidTr="001A270A">
        <w:trPr>
          <w:trHeight w:val="411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A7A02FC" w14:textId="77777777" w:rsidR="001A270A" w:rsidRDefault="001A270A">
            <w:pPr>
              <w:pStyle w:val="TableParagraph"/>
              <w:spacing w:before="102"/>
              <w:ind w:left="81"/>
              <w:rPr>
                <w:sz w:val="18"/>
              </w:rPr>
            </w:pPr>
            <w:r>
              <w:rPr>
                <w:sz w:val="18"/>
              </w:rPr>
              <w:t>III-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65D17581" w14:textId="77777777" w:rsidR="001A270A" w:rsidRDefault="001A270A">
            <w:pPr>
              <w:pStyle w:val="TableParagraph"/>
              <w:spacing w:before="102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F95CEA6" w14:textId="2623A235" w:rsidR="001A270A" w:rsidRDefault="001A6AA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Conflict of law rules</w:t>
            </w:r>
            <w:r w:rsidR="001A270A">
              <w:rPr>
                <w:sz w:val="18"/>
              </w:rPr>
              <w:t>, problem of qualification, interpretation (including</w:t>
            </w:r>
          </w:p>
          <w:p w14:paraId="212588A7" w14:textId="275F9440" w:rsidR="001A270A" w:rsidRDefault="001A270A">
            <w:pPr>
              <w:pStyle w:val="TableParagraph"/>
              <w:spacing w:before="2"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EU law), </w:t>
            </w:r>
            <w:r w:rsidR="00E041F6">
              <w:rPr>
                <w:sz w:val="18"/>
              </w:rPr>
              <w:t>determination of the applicable law</w:t>
            </w:r>
          </w:p>
        </w:tc>
      </w:tr>
      <w:tr w:rsidR="001A270A" w14:paraId="3931709D" w14:textId="77777777" w:rsidTr="001A270A">
        <w:trPr>
          <w:trHeight w:val="414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8D7ADDC" w14:textId="77777777" w:rsidR="001A270A" w:rsidRDefault="001A270A">
            <w:pPr>
              <w:pStyle w:val="TableParagraph"/>
              <w:spacing w:before="103"/>
              <w:ind w:left="81"/>
              <w:rPr>
                <w:sz w:val="18"/>
              </w:rPr>
            </w:pPr>
            <w:r>
              <w:rPr>
                <w:sz w:val="18"/>
              </w:rPr>
              <w:t>IV-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1535A00D" w14:textId="77777777" w:rsidR="001A270A" w:rsidRDefault="001A270A">
            <w:pPr>
              <w:pStyle w:val="TableParagraph"/>
              <w:spacing w:before="103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549BF01" w14:textId="7F0A8E24" w:rsidR="001A270A" w:rsidRDefault="00E041F6">
            <w:pPr>
              <w:pStyle w:val="TableParagraph"/>
              <w:spacing w:before="3" w:line="206" w:lineRule="exact"/>
              <w:ind w:left="106" w:right="288"/>
              <w:rPr>
                <w:sz w:val="18"/>
              </w:rPr>
            </w:pPr>
            <w:r w:rsidRPr="00E041F6">
              <w:rPr>
                <w:i/>
                <w:iCs/>
                <w:sz w:val="18"/>
              </w:rPr>
              <w:t>Renvoi</w:t>
            </w:r>
            <w:r w:rsidR="001A270A">
              <w:rPr>
                <w:sz w:val="18"/>
              </w:rPr>
              <w:t xml:space="preserve">, general </w:t>
            </w:r>
            <w:r w:rsidR="0084710D">
              <w:rPr>
                <w:sz w:val="18"/>
              </w:rPr>
              <w:t>escape</w:t>
            </w:r>
            <w:r w:rsidR="001A270A">
              <w:rPr>
                <w:sz w:val="18"/>
              </w:rPr>
              <w:t xml:space="preserve"> clause, public </w:t>
            </w:r>
            <w:r w:rsidR="00A845C2">
              <w:rPr>
                <w:sz w:val="18"/>
              </w:rPr>
              <w:t>policy</w:t>
            </w:r>
            <w:r w:rsidR="001A270A">
              <w:rPr>
                <w:sz w:val="18"/>
              </w:rPr>
              <w:t xml:space="preserve">, </w:t>
            </w:r>
            <w:r w:rsidR="0084710D">
              <w:rPr>
                <w:sz w:val="18"/>
              </w:rPr>
              <w:t xml:space="preserve">overriding mandatory rules </w:t>
            </w:r>
            <w:r w:rsidR="001A270A">
              <w:rPr>
                <w:sz w:val="18"/>
              </w:rPr>
              <w:t>(including EU law)</w:t>
            </w:r>
          </w:p>
        </w:tc>
      </w:tr>
      <w:tr w:rsidR="001A270A" w14:paraId="3386CF34" w14:textId="77777777" w:rsidTr="001A270A">
        <w:trPr>
          <w:trHeight w:val="206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8BA1C6A" w14:textId="77777777" w:rsidR="001A270A" w:rsidRDefault="001A270A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V-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56E0DF21" w14:textId="77777777" w:rsidR="001A270A" w:rsidRDefault="001A270A">
            <w:pPr>
              <w:pStyle w:val="TableParagraph"/>
              <w:spacing w:line="186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BDCDFEA" w14:textId="77777777" w:rsidR="001A270A" w:rsidRDefault="001A270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International Jurisdiction (including Brussels I Regulation)</w:t>
            </w:r>
          </w:p>
        </w:tc>
      </w:tr>
      <w:tr w:rsidR="001A270A" w14:paraId="7C28B1DB" w14:textId="77777777" w:rsidTr="001A270A">
        <w:trPr>
          <w:trHeight w:val="621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C7C466" w14:textId="77777777" w:rsidR="001A270A" w:rsidRDefault="001A270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BC653F8" w14:textId="77777777" w:rsidR="001A270A" w:rsidRDefault="001A270A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VI-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329045E8" w14:textId="77777777" w:rsidR="001A270A" w:rsidRDefault="001A270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3D6B603" w14:textId="77777777" w:rsidR="001A270A" w:rsidRDefault="001A270A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F117E09" w14:textId="77777777" w:rsidR="001A270A" w:rsidRDefault="001A270A">
            <w:pPr>
              <w:pStyle w:val="TableParagraph"/>
              <w:ind w:left="106" w:right="207"/>
              <w:rPr>
                <w:sz w:val="18"/>
              </w:rPr>
            </w:pPr>
            <w:r>
              <w:rPr>
                <w:sz w:val="18"/>
              </w:rPr>
              <w:t>Civil proceedings with foreign element, recognition and enforcement of foreign court decisions (including Brussels I Regulation, Rome IV</w:t>
            </w:r>
          </w:p>
          <w:p w14:paraId="1D1CFD28" w14:textId="77777777" w:rsidR="001A270A" w:rsidRDefault="001A270A">
            <w:pPr>
              <w:pStyle w:val="TableParagraph"/>
              <w:spacing w:before="1"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Regulation and Regulation on taking of evidence)</w:t>
            </w:r>
          </w:p>
        </w:tc>
      </w:tr>
      <w:tr w:rsidR="001A270A" w14:paraId="38FFAAC4" w14:textId="77777777" w:rsidTr="001A270A">
        <w:trPr>
          <w:trHeight w:val="206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03C25F4" w14:textId="77777777" w:rsidR="001A270A" w:rsidRDefault="001A270A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VII-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5E88E42B" w14:textId="77777777" w:rsidR="001A270A" w:rsidRDefault="001A270A">
            <w:pPr>
              <w:pStyle w:val="TableParagraph"/>
              <w:spacing w:line="186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4A6405B" w14:textId="58CCE0A7" w:rsidR="001A270A" w:rsidRDefault="001A270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International </w:t>
            </w:r>
            <w:r w:rsidR="00A845C2">
              <w:rPr>
                <w:sz w:val="18"/>
              </w:rPr>
              <w:t>Commercial</w:t>
            </w:r>
            <w:r>
              <w:rPr>
                <w:sz w:val="18"/>
              </w:rPr>
              <w:t xml:space="preserve"> Arbitration</w:t>
            </w:r>
          </w:p>
        </w:tc>
      </w:tr>
      <w:tr w:rsidR="001A270A" w14:paraId="69D2792C" w14:textId="77777777" w:rsidTr="001A270A">
        <w:trPr>
          <w:trHeight w:val="208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346F486" w14:textId="77777777" w:rsidR="001A270A" w:rsidRDefault="001A270A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VIII-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141F91EC" w14:textId="77777777" w:rsidR="001A270A" w:rsidRDefault="001A270A">
            <w:pPr>
              <w:pStyle w:val="TableParagraph"/>
              <w:spacing w:line="188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A2DCB07" w14:textId="77777777" w:rsidR="001A270A" w:rsidRDefault="001A270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Mid-term exam</w:t>
            </w:r>
          </w:p>
        </w:tc>
      </w:tr>
      <w:tr w:rsidR="001A270A" w14:paraId="0C676600" w14:textId="77777777" w:rsidTr="001A270A">
        <w:trPr>
          <w:trHeight w:val="206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A7F7E93" w14:textId="77777777" w:rsidR="001A270A" w:rsidRDefault="001A270A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IX-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1827B555" w14:textId="77777777" w:rsidR="001A270A" w:rsidRDefault="001A270A">
            <w:pPr>
              <w:pStyle w:val="TableParagraph"/>
              <w:spacing w:line="186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6642EE2" w14:textId="77777777" w:rsidR="001A270A" w:rsidRDefault="001A270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Make-up exam</w:t>
            </w:r>
          </w:p>
        </w:tc>
      </w:tr>
      <w:tr w:rsidR="001A270A" w14:paraId="6E0ABA35" w14:textId="77777777" w:rsidTr="001A270A">
        <w:trPr>
          <w:trHeight w:val="414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5C0D5EE" w14:textId="77777777" w:rsidR="001A270A" w:rsidRDefault="001A270A">
            <w:pPr>
              <w:pStyle w:val="TableParagraph"/>
              <w:spacing w:before="103"/>
              <w:ind w:left="81"/>
              <w:rPr>
                <w:sz w:val="18"/>
              </w:rPr>
            </w:pPr>
            <w:r>
              <w:rPr>
                <w:sz w:val="18"/>
              </w:rPr>
              <w:t>X-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01DBF3B1" w14:textId="77777777" w:rsidR="001A270A" w:rsidRDefault="001A270A">
            <w:pPr>
              <w:pStyle w:val="TableParagraph"/>
              <w:spacing w:before="103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E2073E3" w14:textId="0B19C540" w:rsidR="001A270A" w:rsidRDefault="001A270A">
            <w:pPr>
              <w:pStyle w:val="TableParagraph"/>
              <w:spacing w:before="1" w:line="208" w:lineRule="exact"/>
              <w:ind w:left="106" w:right="652"/>
              <w:rPr>
                <w:sz w:val="18"/>
              </w:rPr>
            </w:pPr>
            <w:r>
              <w:rPr>
                <w:sz w:val="18"/>
              </w:rPr>
              <w:t xml:space="preserve">Rights of </w:t>
            </w:r>
            <w:r w:rsidR="00A845C2">
              <w:rPr>
                <w:sz w:val="18"/>
              </w:rPr>
              <w:t>foreigners</w:t>
            </w:r>
            <w:r>
              <w:rPr>
                <w:sz w:val="18"/>
              </w:rPr>
              <w:t xml:space="preserve">, </w:t>
            </w:r>
            <w:r w:rsidR="00427DF0">
              <w:rPr>
                <w:sz w:val="18"/>
              </w:rPr>
              <w:t>connecting factors</w:t>
            </w:r>
            <w:r>
              <w:rPr>
                <w:sz w:val="18"/>
              </w:rPr>
              <w:t>, applicable law for status relations of natural and legal persons (including EU law)</w:t>
            </w:r>
          </w:p>
        </w:tc>
      </w:tr>
      <w:tr w:rsidR="001A270A" w14:paraId="7FA945AB" w14:textId="77777777" w:rsidTr="001A270A">
        <w:trPr>
          <w:trHeight w:val="204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C968601" w14:textId="77777777" w:rsidR="001A270A" w:rsidRDefault="001A270A">
            <w:pPr>
              <w:pStyle w:val="TableParagraph"/>
              <w:spacing w:line="184" w:lineRule="exact"/>
              <w:ind w:left="81"/>
              <w:rPr>
                <w:sz w:val="18"/>
              </w:rPr>
            </w:pPr>
            <w:r>
              <w:rPr>
                <w:sz w:val="18"/>
              </w:rPr>
              <w:t>XI-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259FACDB" w14:textId="77777777" w:rsidR="001A270A" w:rsidRDefault="001A270A">
            <w:pPr>
              <w:pStyle w:val="TableParagraph"/>
              <w:spacing w:line="184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9B714E3" w14:textId="77777777" w:rsidR="001A270A" w:rsidRDefault="001A270A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Applicable law for contracts (including Regulation Rome I)</w:t>
            </w:r>
          </w:p>
        </w:tc>
      </w:tr>
      <w:tr w:rsidR="001A270A" w14:paraId="511682A3" w14:textId="77777777" w:rsidTr="001A270A">
        <w:trPr>
          <w:trHeight w:val="208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BE29F0B" w14:textId="77777777" w:rsidR="001A270A" w:rsidRDefault="001A270A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sz w:val="18"/>
              </w:rPr>
              <w:t>XII-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5FFC2E74" w14:textId="77777777" w:rsidR="001A270A" w:rsidRDefault="001A270A">
            <w:pPr>
              <w:pStyle w:val="TableParagraph"/>
              <w:spacing w:line="188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88F0097" w14:textId="608FC835" w:rsidR="001A270A" w:rsidRDefault="001A270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Applicable law for </w:t>
            </w:r>
            <w:r w:rsidR="00202AE9">
              <w:rPr>
                <w:sz w:val="18"/>
              </w:rPr>
              <w:t xml:space="preserve">non-contractual obligations </w:t>
            </w:r>
            <w:r>
              <w:rPr>
                <w:sz w:val="18"/>
              </w:rPr>
              <w:t>(including Regulation Rome II)</w:t>
            </w:r>
          </w:p>
        </w:tc>
      </w:tr>
      <w:tr w:rsidR="001A270A" w14:paraId="7CE54521" w14:textId="77777777" w:rsidTr="001A270A">
        <w:trPr>
          <w:trHeight w:val="412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79E82A0" w14:textId="77777777" w:rsidR="001A270A" w:rsidRDefault="001A270A">
            <w:pPr>
              <w:pStyle w:val="TableParagraph"/>
              <w:spacing w:before="103"/>
              <w:ind w:left="81"/>
              <w:rPr>
                <w:sz w:val="18"/>
              </w:rPr>
            </w:pPr>
            <w:r>
              <w:rPr>
                <w:sz w:val="18"/>
              </w:rPr>
              <w:t>XIII-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4706250B" w14:textId="77777777" w:rsidR="001A270A" w:rsidRDefault="001A270A">
            <w:pPr>
              <w:pStyle w:val="TableParagraph"/>
              <w:spacing w:before="103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1C7E692" w14:textId="77777777" w:rsidR="001A270A" w:rsidRDefault="001A270A">
            <w:pPr>
              <w:pStyle w:val="TableParagraph"/>
              <w:spacing w:before="3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Applicable law for property relations and inheritance (including Regulation Rome IV)</w:t>
            </w:r>
          </w:p>
        </w:tc>
      </w:tr>
      <w:tr w:rsidR="001A270A" w14:paraId="688D1047" w14:textId="77777777" w:rsidTr="001A270A">
        <w:trPr>
          <w:trHeight w:val="411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299F7E1" w14:textId="77777777" w:rsidR="001A270A" w:rsidRDefault="001A270A">
            <w:pPr>
              <w:pStyle w:val="TableParagraph"/>
              <w:spacing w:before="102"/>
              <w:ind w:left="81"/>
              <w:rPr>
                <w:sz w:val="18"/>
              </w:rPr>
            </w:pPr>
            <w:r>
              <w:rPr>
                <w:sz w:val="18"/>
              </w:rPr>
              <w:t>XIV-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67C73400" w14:textId="77777777" w:rsidR="001A270A" w:rsidRDefault="001A270A">
            <w:pPr>
              <w:pStyle w:val="TableParagraph"/>
              <w:spacing w:before="102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C5DB" w14:textId="6114D2D8" w:rsidR="001A270A" w:rsidRDefault="00427DF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Applicable law for family law relations</w:t>
            </w:r>
            <w:r w:rsidR="001A270A">
              <w:rPr>
                <w:sz w:val="18"/>
              </w:rPr>
              <w:t xml:space="preserve"> (including Regulation Rome</w:t>
            </w:r>
          </w:p>
          <w:p w14:paraId="310D5BF2" w14:textId="77777777" w:rsidR="001A270A" w:rsidRDefault="001A270A">
            <w:pPr>
              <w:pStyle w:val="TableParagraph"/>
              <w:spacing w:before="2"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III and Regulation on matrimonial property regime)</w:t>
            </w:r>
          </w:p>
        </w:tc>
      </w:tr>
      <w:tr w:rsidR="001A270A" w14:paraId="0277CF0D" w14:textId="77777777" w:rsidTr="001A270A">
        <w:trPr>
          <w:trHeight w:val="205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6AEF" w14:textId="77777777" w:rsidR="001A270A" w:rsidRDefault="001A270A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XV-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30FEF6" w14:textId="77777777" w:rsidR="001A270A" w:rsidRDefault="001A270A">
            <w:pPr>
              <w:pStyle w:val="TableParagraph"/>
              <w:spacing w:line="186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L/E/O/EM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D652" w14:textId="77777777" w:rsidR="001A270A" w:rsidRDefault="001A270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Preparation for finals</w:t>
            </w:r>
          </w:p>
        </w:tc>
      </w:tr>
    </w:tbl>
    <w:p w14:paraId="5C8FD076" w14:textId="1E4C1E36" w:rsidR="001A270A" w:rsidRPr="001A270A" w:rsidRDefault="001A270A" w:rsidP="001A270A">
      <w:pPr>
        <w:pStyle w:val="BodyText"/>
        <w:spacing w:before="1"/>
        <w:rPr>
          <w:sz w:val="17"/>
        </w:rPr>
        <w:sectPr w:rsidR="001A270A" w:rsidRPr="001A270A">
          <w:pgSz w:w="9980" w:h="14180"/>
          <w:pgMar w:top="1180" w:right="1300" w:bottom="1240" w:left="1300" w:header="729" w:footer="1053" w:gutter="0"/>
          <w:cols w:space="720"/>
        </w:sectPr>
      </w:pPr>
    </w:p>
    <w:p w14:paraId="143D1F01" w14:textId="7F41F8EC" w:rsidR="001A270A" w:rsidRDefault="001A270A" w:rsidP="001A270A">
      <w:pPr>
        <w:pStyle w:val="BodyText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39C413" wp14:editId="410BDD9F">
                <wp:simplePos x="0" y="0"/>
                <wp:positionH relativeFrom="page">
                  <wp:posOffset>1493520</wp:posOffset>
                </wp:positionH>
                <wp:positionV relativeFrom="page">
                  <wp:posOffset>2048510</wp:posOffset>
                </wp:positionV>
                <wp:extent cx="393065" cy="6350"/>
                <wp:effectExtent l="0" t="635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831B" id="Rectangle 3" o:spid="_x0000_s1026" style="position:absolute;margin-left:117.6pt;margin-top:161.3pt;width:30.9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nS+gEAANgDAAAOAAAAZHJzL2Uyb0RvYy54bWysU9uO0zAQfUfiHyy/0/QOGzVdrbpahLSw&#10;KxY+YOo4jYXjMWO36fL1jJ1uKfCGyIPl8cycnHM8Xl0fOysOmoJBV8nJaCyFdgpr43aV/Prl7s07&#10;KUIEV4NFpyv5rIO8Xr9+tep9qafYoq01CQZxoex9JdsYfVkUQbW6gzBCrx0nG6QOIoe0K2qCntE7&#10;W0zH42XRI9WeUOkQ+PR2SMp1xm8areJD0wQdha0kc4t5pbxu01qsV1DuCHxr1IkG/AOLDozjn56h&#10;biGC2JP5C6ozijBgE0cKuwKbxiidNbCayfgPNU8teJ21sDnBn20K/w9WfTo8kjB1JWdSOOj4ij6z&#10;aeB2VotZsqf3oeSqJ/9ISWDw96i+BeFw03KVviHCvtVQM6lJqi9+a0hB4Fax7T9izeiwj5idOjbU&#10;JUD2QBzzhTyfL0Qfo1B8OLuajZcLKRSnlrNFvq4CypdWTyG+19iJtKkkMfEMDYf7EBMVKF9KMnW0&#10;pr4z1uaAdtuNJXGANBn5y+xZ4WWZdanYYWobENNJ1phkDfZssX5miYTDePFz4E2L9EOKnkerkuH7&#10;HkhLYT84tulqMp+nWczBfPF2ygFdZraXGXCKoSoZpRi2mzjM796T2bX8p0kW7fCGrW1MFp5sH1id&#10;yPL4ZD9Oo57m8zLOVb8e5PonAAAA//8DAFBLAwQUAAYACAAAACEAJs3ANOEAAAALAQAADwAAAGRy&#10;cy9kb3ducmV2LnhtbEyPwU7DMAyG70i8Q2QkbixdyspWmk4MiSMSGxy2W9p4bbXGKUm2FZ6e7DSO&#10;tj/9/v5iOZqendD5zpKE6SQBhlRb3VEj4evz7WEOzAdFWvWWUMIPeliWtzeFyrU90xpPm9CwGEI+&#10;VxLaEIacc1+3aJSf2AEp3vbWGRXi6BqunTrHcNNzkSQZN6qj+KFVA762WB82RyNhtZivvj8e6f13&#10;Xe1wt60OM+ESKe/vxpdnYAHHcIXhoh/VoYxOlT2S9qyXINKZiKiEVIgMWCTE4mkKrLps0gx4WfD/&#10;Hco/AAAA//8DAFBLAQItABQABgAIAAAAIQC2gziS/gAAAOEBAAATAAAAAAAAAAAAAAAAAAAAAABb&#10;Q29udGVudF9UeXBlc10ueG1sUEsBAi0AFAAGAAgAAAAhADj9If/WAAAAlAEAAAsAAAAAAAAAAAAA&#10;AAAALwEAAF9yZWxzLy5yZWxzUEsBAi0AFAAGAAgAAAAhAMecidL6AQAA2AMAAA4AAAAAAAAAAAAA&#10;AAAALgIAAGRycy9lMm9Eb2MueG1sUEsBAi0AFAAGAAgAAAAhACbNwDThAAAACw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240AB5" wp14:editId="4C61FD2F">
                <wp:simplePos x="0" y="0"/>
                <wp:positionH relativeFrom="page">
                  <wp:posOffset>3634105</wp:posOffset>
                </wp:positionH>
                <wp:positionV relativeFrom="page">
                  <wp:posOffset>2048510</wp:posOffset>
                </wp:positionV>
                <wp:extent cx="586740" cy="6350"/>
                <wp:effectExtent l="0" t="635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06BE" id="Rectangle 2" o:spid="_x0000_s1026" style="position:absolute;margin-left:286.15pt;margin-top:161.3pt;width:46.2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/g+QEAANgDAAAOAAAAZHJzL2Uyb0RvYy54bWysU8GO0zAQvSPxD5bvNG1pu0vUdLXqahHS&#10;wq5Y+ICp4zQWjseM3abl6xk73VLghsjB8njGL++9GS9vDp0Ve03BoKvkZDSWQjuFtXHbSn79cv/m&#10;WooQwdVg0elKHnWQN6vXr5a9L/UUW7S1JsEgLpS9r2Qboy+LIqhWdxBG6LXjZIPUQeSQtkVN0DN6&#10;Z4vpeLwoeqTaEyodAp/eDUm5yvhNo1V8bJqgo7CVZG4xr5TXTVqL1RLKLYFvjTrRgH9g0YFx/NMz&#10;1B1EEDsyf0F1RhEGbOJIYVdg0xilswZWMxn/oea5Ba+zFjYn+LNN4f/Bqk/7JxKmruRUCgcdt+gz&#10;mwZua7WYJnt6H0quevZPlAQG/4DqWxAO1y1X6Vsi7FsNNZOapPritwspCHxVbPqPWDM67CJmpw4N&#10;dQmQPRCH3JDjuSH6EIXiw/n14mrGbVOcWryd53YVUL5c9RTie42dSJtKEhPP0LB/CDFRgfKlJFNH&#10;a+p7Y20OaLtZWxJ7SJORv8yeFV6WWZeKHaZrA2I6yRqTrMGeDdZHlkg4jBc/B960SD+k6Hm0Khm+&#10;74C0FPaDY5veTWZJVMzBbH415YAuM5vLDDjFUJWMUgzbdRzmd+fJbFv+0ySLdnjL1jYmC0+2D6xO&#10;ZHl8sh+nUU/zeRnnql8PcvUTAAD//wMAUEsDBBQABgAIAAAAIQAbY8V04QAAAAsBAAAPAAAAZHJz&#10;L2Rvd25yZXYueG1sTI/BTsMwDIbvSLxDZCRuLCXduq00nRgSRyQ2OLBb2nhttcYpSbYVnp7sNI62&#10;P/3+/mI1mp6d0PnOkoTHSQIMqba6o0bC58frwwKYD4q06i2hhB/0sCpvbwqVa3umDZ62oWExhHyu&#10;JLQhDDnnvm7RKD+xA1K87a0zKsTRNVw7dY7hpuciSTJuVEfxQ6sGfGmxPmyPRsJ6uVh/v0/p7XdT&#10;7XD3VR1mwiVS3t+Nz0/AAo7hCsNFP6pDGZ0qeyTtWS9hNhdpRCWkQmTAIpFl0zmw6rJJM+Blwf93&#10;KP8AAAD//wMAUEsBAi0AFAAGAAgAAAAhALaDOJL+AAAA4QEAABMAAAAAAAAAAAAAAAAAAAAAAFtD&#10;b250ZW50X1R5cGVzXS54bWxQSwECLQAUAAYACAAAACEAOP0h/9YAAACUAQAACwAAAAAAAAAAAAAA&#10;AAAvAQAAX3JlbHMvLnJlbHNQSwECLQAUAAYACAAAACEAvvef4PkBAADYAwAADgAAAAAAAAAAAAAA&#10;AAAuAgAAZHJzL2Uyb0RvYy54bWxQSwECLQAUAAYACAAAACEAG2PFdO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7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389"/>
        <w:gridCol w:w="675"/>
        <w:gridCol w:w="202"/>
        <w:gridCol w:w="1085"/>
        <w:gridCol w:w="1112"/>
        <w:gridCol w:w="1116"/>
        <w:gridCol w:w="1138"/>
      </w:tblGrid>
      <w:tr w:rsidR="001A270A" w14:paraId="64E5702A" w14:textId="77777777" w:rsidTr="001A270A">
        <w:trPr>
          <w:trHeight w:val="206"/>
        </w:trPr>
        <w:tc>
          <w:tcPr>
            <w:tcW w:w="171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07DB1E91" w14:textId="77777777" w:rsidR="001A270A" w:rsidRDefault="001A270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XVI-</w:t>
            </w:r>
          </w:p>
        </w:tc>
        <w:tc>
          <w:tcPr>
            <w:tcW w:w="5328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C3052CD" w14:textId="77777777" w:rsidR="001A270A" w:rsidRDefault="001A270A">
            <w:pPr>
              <w:pStyle w:val="TableParagraph"/>
              <w:spacing w:line="186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Final exam</w:t>
            </w:r>
          </w:p>
        </w:tc>
      </w:tr>
      <w:tr w:rsidR="001A270A" w14:paraId="3EB58EE5" w14:textId="77777777" w:rsidTr="001A270A">
        <w:trPr>
          <w:trHeight w:val="205"/>
        </w:trPr>
        <w:tc>
          <w:tcPr>
            <w:tcW w:w="171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510CF876" w14:textId="77777777" w:rsidR="001A270A" w:rsidRDefault="001A270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XVII-</w:t>
            </w:r>
          </w:p>
        </w:tc>
        <w:tc>
          <w:tcPr>
            <w:tcW w:w="5328" w:type="dxa"/>
            <w:gridSpan w:val="6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9A4B4B5" w14:textId="385D451B" w:rsidR="001A270A" w:rsidRDefault="001A270A">
            <w:pPr>
              <w:pStyle w:val="TableParagraph"/>
              <w:spacing w:line="186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Semester verification and grades ent</w:t>
            </w:r>
            <w:r w:rsidR="00202AE9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>ring</w:t>
            </w:r>
          </w:p>
        </w:tc>
      </w:tr>
      <w:tr w:rsidR="001A270A" w14:paraId="6D8B5EE1" w14:textId="77777777" w:rsidTr="001A270A">
        <w:trPr>
          <w:trHeight w:val="208"/>
        </w:trPr>
        <w:tc>
          <w:tcPr>
            <w:tcW w:w="171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637CCDE" w14:textId="77777777" w:rsidR="001A270A" w:rsidRDefault="001A270A">
            <w:pPr>
              <w:pStyle w:val="TableParagraph"/>
              <w:spacing w:before="2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XVIII-XXI-</w:t>
            </w:r>
          </w:p>
        </w:tc>
        <w:tc>
          <w:tcPr>
            <w:tcW w:w="5328" w:type="dxa"/>
            <w:gridSpan w:val="6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4D25" w14:textId="77777777" w:rsidR="001A270A" w:rsidRDefault="001A270A">
            <w:pPr>
              <w:pStyle w:val="TableParagraph"/>
              <w:spacing w:before="2" w:line="186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Additional classes and make-up final exams</w:t>
            </w:r>
          </w:p>
        </w:tc>
      </w:tr>
      <w:tr w:rsidR="001A270A" w14:paraId="6EC80AAD" w14:textId="77777777" w:rsidTr="001A270A">
        <w:trPr>
          <w:trHeight w:val="299"/>
        </w:trPr>
        <w:tc>
          <w:tcPr>
            <w:tcW w:w="7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C0CC" w14:textId="77777777" w:rsidR="001A270A" w:rsidRDefault="001A270A"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i/>
                <w:sz w:val="18"/>
              </w:rPr>
              <w:t xml:space="preserve">Students' obligations: </w:t>
            </w:r>
            <w:r>
              <w:rPr>
                <w:sz w:val="18"/>
              </w:rPr>
              <w:t>Attendance and active participation in classes</w:t>
            </w:r>
          </w:p>
        </w:tc>
      </w:tr>
      <w:tr w:rsidR="001A270A" w14:paraId="609ECE5C" w14:textId="77777777" w:rsidTr="001A270A">
        <w:trPr>
          <w:trHeight w:val="299"/>
        </w:trPr>
        <w:tc>
          <w:tcPr>
            <w:tcW w:w="7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9460" w14:textId="77777777" w:rsidR="001A270A" w:rsidRDefault="001A270A"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i/>
                <w:sz w:val="18"/>
              </w:rPr>
              <w:t xml:space="preserve">Consultations: </w:t>
            </w:r>
            <w:r>
              <w:rPr>
                <w:sz w:val="18"/>
              </w:rPr>
              <w:t>Mondays from 9 am - 1 pm</w:t>
            </w:r>
          </w:p>
        </w:tc>
      </w:tr>
      <w:tr w:rsidR="001A270A" w14:paraId="38E64108" w14:textId="77777777" w:rsidTr="001A270A">
        <w:trPr>
          <w:trHeight w:val="299"/>
        </w:trPr>
        <w:tc>
          <w:tcPr>
            <w:tcW w:w="7039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75F950F" w14:textId="77777777" w:rsidR="001A270A" w:rsidRDefault="001A270A">
            <w:pPr>
              <w:pStyle w:val="TableParagraph"/>
              <w:spacing w:before="47"/>
              <w:ind w:left="2479" w:right="2475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Students</w:t>
            </w:r>
            <w:proofErr w:type="gramEnd"/>
            <w:r>
              <w:rPr>
                <w:i/>
                <w:sz w:val="18"/>
              </w:rPr>
              <w:t xml:space="preserve"> workload in hours:</w:t>
            </w:r>
          </w:p>
        </w:tc>
      </w:tr>
      <w:tr w:rsidR="001A270A" w14:paraId="11658A15" w14:textId="77777777" w:rsidTr="001A270A">
        <w:trPr>
          <w:trHeight w:val="1656"/>
        </w:trPr>
        <w:tc>
          <w:tcPr>
            <w:tcW w:w="238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AEEA" w14:textId="77777777" w:rsidR="001A270A" w:rsidRDefault="001A270A">
            <w:pPr>
              <w:pStyle w:val="TableParagraph"/>
              <w:ind w:left="105" w:right="861" w:firstLine="775"/>
              <w:rPr>
                <w:sz w:val="18"/>
              </w:rPr>
            </w:pPr>
            <w:r>
              <w:rPr>
                <w:sz w:val="18"/>
              </w:rPr>
              <w:t>weekly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sz w:val="18"/>
              </w:rPr>
              <w:t xml:space="preserve"> Lectures: Exercises:</w:t>
            </w:r>
          </w:p>
          <w:p w14:paraId="2F982D23" w14:textId="77777777" w:rsidR="001A270A" w:rsidRDefault="001A270A">
            <w:pPr>
              <w:pStyle w:val="TableParagraph"/>
              <w:ind w:left="105" w:right="441"/>
              <w:rPr>
                <w:sz w:val="18"/>
              </w:rPr>
            </w:pPr>
            <w:r>
              <w:rPr>
                <w:sz w:val="18"/>
              </w:rPr>
              <w:t>Other teaching activities: Seminar papers</w:t>
            </w:r>
          </w:p>
          <w:p w14:paraId="7C08615E" w14:textId="77777777" w:rsidR="001A270A" w:rsidRDefault="001A270A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Individual work of students</w:t>
            </w:r>
          </w:p>
        </w:tc>
        <w:tc>
          <w:tcPr>
            <w:tcW w:w="465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4231" w14:textId="77777777" w:rsidR="001A270A" w:rsidRDefault="001A270A">
            <w:pPr>
              <w:pStyle w:val="TableParagraph"/>
              <w:ind w:right="1836" w:firstLine="1757"/>
              <w:rPr>
                <w:sz w:val="18"/>
              </w:rPr>
            </w:pPr>
            <w:r>
              <w:rPr>
                <w:sz w:val="18"/>
              </w:rPr>
              <w:t>In semester</w:t>
            </w:r>
            <w:r>
              <w:rPr>
                <w:sz w:val="18"/>
                <w:vertAlign w:val="superscript"/>
              </w:rPr>
              <w:t>4)</w:t>
            </w:r>
            <w:r>
              <w:rPr>
                <w:sz w:val="18"/>
              </w:rPr>
              <w:t xml:space="preserve"> Teaching and finals: 85 hours</w:t>
            </w:r>
          </w:p>
          <w:p w14:paraId="67D43321" w14:textId="77777777" w:rsidR="001A270A" w:rsidRDefault="001A270A">
            <w:pPr>
              <w:pStyle w:val="TableParagraph"/>
              <w:spacing w:before="1"/>
              <w:ind w:right="237"/>
              <w:rPr>
                <w:sz w:val="18"/>
              </w:rPr>
            </w:pPr>
            <w:r>
              <w:rPr>
                <w:sz w:val="18"/>
              </w:rPr>
              <w:t>Necessary preparations (administration, registration, verification before the beginning of the semester): 10 hours Total course workload: 120 hours</w:t>
            </w:r>
          </w:p>
          <w:p w14:paraId="52BA7751" w14:textId="77777777" w:rsidR="001A270A" w:rsidRDefault="001A270A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Additional work: 25 hours</w:t>
            </w:r>
          </w:p>
          <w:p w14:paraId="568041B4" w14:textId="77777777" w:rsidR="001A270A" w:rsidRDefault="001A270A">
            <w:pPr>
              <w:pStyle w:val="TableParagraph"/>
              <w:spacing w:before="3" w:line="206" w:lineRule="exact"/>
              <w:ind w:right="124"/>
              <w:rPr>
                <w:sz w:val="18"/>
              </w:rPr>
            </w:pPr>
            <w:r>
              <w:rPr>
                <w:sz w:val="18"/>
              </w:rPr>
              <w:t>Workload structure: 85 hours (teaching) + 10 (preparation) + 25 (additional work)</w:t>
            </w:r>
          </w:p>
        </w:tc>
      </w:tr>
      <w:tr w:rsidR="001A270A" w14:paraId="044DEE55" w14:textId="77777777" w:rsidTr="001A270A">
        <w:trPr>
          <w:trHeight w:val="3720"/>
        </w:trPr>
        <w:tc>
          <w:tcPr>
            <w:tcW w:w="7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0C7C" w14:textId="77777777" w:rsidR="001A270A" w:rsidRDefault="001A270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Basic literature:</w:t>
            </w:r>
          </w:p>
          <w:p w14:paraId="5DDE966C" w14:textId="77777777" w:rsidR="00396ADF" w:rsidRDefault="00396ADF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37B2C738" w14:textId="0D86676E" w:rsidR="00396ADF" w:rsidRDefault="00851EC4" w:rsidP="0064196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Maja </w:t>
            </w:r>
            <w:proofErr w:type="spellStart"/>
            <w:r w:rsidRPr="00851EC4">
              <w:rPr>
                <w:sz w:val="18"/>
              </w:rPr>
              <w:t>Kosti</w:t>
            </w:r>
            <w:r w:rsidR="00641961">
              <w:rPr>
                <w:sz w:val="18"/>
              </w:rPr>
              <w:t>ć</w:t>
            </w:r>
            <w:proofErr w:type="spellEnd"/>
            <w:r w:rsidRPr="00851EC4">
              <w:rPr>
                <w:sz w:val="18"/>
              </w:rPr>
              <w:t>-Mandi</w:t>
            </w:r>
            <w:r>
              <w:rPr>
                <w:sz w:val="18"/>
                <w:lang w:val="sr-Latn-RS"/>
              </w:rPr>
              <w:t>ć</w:t>
            </w:r>
            <w:r w:rsidR="00641961">
              <w:rPr>
                <w:sz w:val="18"/>
                <w:lang w:val="sr-Latn-RS"/>
              </w:rPr>
              <w:t>,</w:t>
            </w:r>
            <w:r w:rsidRPr="00851EC4">
              <w:rPr>
                <w:sz w:val="18"/>
              </w:rPr>
              <w:t xml:space="preserve"> ‘Montenegro’</w:t>
            </w:r>
            <w:r w:rsidR="009B167E">
              <w:rPr>
                <w:sz w:val="18"/>
              </w:rPr>
              <w:t xml:space="preserve">, </w:t>
            </w:r>
            <w:r w:rsidRPr="00851EC4">
              <w:rPr>
                <w:sz w:val="18"/>
              </w:rPr>
              <w:t xml:space="preserve">International </w:t>
            </w:r>
            <w:proofErr w:type="spellStart"/>
            <w:r w:rsidRPr="00851EC4">
              <w:rPr>
                <w:sz w:val="18"/>
              </w:rPr>
              <w:t>Encyclopaedia</w:t>
            </w:r>
            <w:proofErr w:type="spellEnd"/>
            <w:r w:rsidRPr="00851EC4">
              <w:rPr>
                <w:sz w:val="18"/>
              </w:rPr>
              <w:t xml:space="preserve"> of Laws: Private International Law,</w:t>
            </w:r>
            <w:r w:rsidR="00641961">
              <w:rPr>
                <w:sz w:val="18"/>
              </w:rPr>
              <w:t xml:space="preserve"> </w:t>
            </w:r>
            <w:r w:rsidRPr="00851EC4">
              <w:rPr>
                <w:sz w:val="18"/>
              </w:rPr>
              <w:t xml:space="preserve">edited by Bea </w:t>
            </w:r>
            <w:proofErr w:type="spellStart"/>
            <w:r w:rsidRPr="00851EC4">
              <w:rPr>
                <w:sz w:val="18"/>
              </w:rPr>
              <w:t>Verschraegen</w:t>
            </w:r>
            <w:proofErr w:type="spellEnd"/>
            <w:r w:rsidRPr="00851EC4">
              <w:rPr>
                <w:sz w:val="18"/>
              </w:rPr>
              <w:t xml:space="preserve">. Alphen </w:t>
            </w:r>
            <w:proofErr w:type="spellStart"/>
            <w:r w:rsidRPr="00851EC4">
              <w:rPr>
                <w:sz w:val="18"/>
              </w:rPr>
              <w:t>aan</w:t>
            </w:r>
            <w:proofErr w:type="spellEnd"/>
            <w:r w:rsidRPr="00851EC4">
              <w:rPr>
                <w:sz w:val="18"/>
              </w:rPr>
              <w:t xml:space="preserve"> den Rijn, NL: Kluwer Law International, 2020.</w:t>
            </w:r>
          </w:p>
          <w:p w14:paraId="623EEE7A" w14:textId="3F3D8F64" w:rsidR="001A270A" w:rsidRDefault="001A270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Maja </w:t>
            </w:r>
            <w:proofErr w:type="spellStart"/>
            <w:r>
              <w:rPr>
                <w:sz w:val="18"/>
              </w:rPr>
              <w:t>Kostić-Mandić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Međunarodno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privatno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Pravni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fakultet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Univerziteta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Crne</w:t>
            </w:r>
            <w:proofErr w:type="spellEnd"/>
            <w:r>
              <w:rPr>
                <w:sz w:val="18"/>
              </w:rPr>
              <w:t xml:space="preserve"> Gore,</w:t>
            </w:r>
          </w:p>
          <w:p w14:paraId="20DD7BB7" w14:textId="47EA058F" w:rsidR="001A270A" w:rsidRDefault="001A270A" w:rsidP="001A270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Podgorica, 2017.</w:t>
            </w:r>
          </w:p>
          <w:p w14:paraId="267B0A9A" w14:textId="77777777" w:rsidR="00641961" w:rsidRDefault="00641961">
            <w:pPr>
              <w:pStyle w:val="TableParagraph"/>
              <w:spacing w:line="207" w:lineRule="exact"/>
              <w:ind w:left="105"/>
              <w:rPr>
                <w:sz w:val="18"/>
              </w:rPr>
            </w:pPr>
          </w:p>
          <w:p w14:paraId="28272E22" w14:textId="710D4E20" w:rsidR="001A270A" w:rsidRDefault="001A270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General literature:</w:t>
            </w:r>
          </w:p>
          <w:p w14:paraId="032A6929" w14:textId="027FB41F" w:rsidR="001A270A" w:rsidRDefault="001A270A">
            <w:pPr>
              <w:pStyle w:val="TableParagraph"/>
              <w:spacing w:before="2"/>
              <w:ind w:left="105" w:right="745"/>
              <w:rPr>
                <w:sz w:val="18"/>
              </w:rPr>
            </w:pPr>
            <w:r>
              <w:rPr>
                <w:sz w:val="18"/>
              </w:rPr>
              <w:t xml:space="preserve">-Davor Babić, Christa </w:t>
            </w:r>
            <w:proofErr w:type="spellStart"/>
            <w:r>
              <w:rPr>
                <w:sz w:val="18"/>
              </w:rPr>
              <w:t>Jessel</w:t>
            </w:r>
            <w:proofErr w:type="spellEnd"/>
            <w:r>
              <w:rPr>
                <w:sz w:val="18"/>
              </w:rPr>
              <w:t xml:space="preserve">-Holst, </w:t>
            </w:r>
            <w:proofErr w:type="spellStart"/>
            <w:r>
              <w:rPr>
                <w:sz w:val="18"/>
              </w:rPr>
              <w:t>Međunarodno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privatno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pravo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zbirka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unutarnjih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europskih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međunarodnih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propisa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Narodne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novine</w:t>
            </w:r>
            <w:proofErr w:type="spellEnd"/>
            <w:r>
              <w:rPr>
                <w:sz w:val="18"/>
              </w:rPr>
              <w:t>, GIZ, Zagreb, 2011.</w:t>
            </w:r>
            <w:r w:rsidR="009B167E">
              <w:rPr>
                <w:sz w:val="18"/>
              </w:rPr>
              <w:t xml:space="preserve"> (bilingual)</w:t>
            </w:r>
          </w:p>
          <w:p w14:paraId="0D10F7FB" w14:textId="77777777" w:rsidR="001A270A" w:rsidRDefault="001A270A">
            <w:pPr>
              <w:pStyle w:val="TableParagraph"/>
              <w:ind w:left="105" w:right="855"/>
              <w:rPr>
                <w:sz w:val="18"/>
              </w:rPr>
            </w:pPr>
            <w:r>
              <w:rPr>
                <w:sz w:val="18"/>
              </w:rPr>
              <w:t>-Michael Bogdan, Concise Introduction to EU private international law, Europa law publishing, Groningen, 2012.</w:t>
            </w:r>
          </w:p>
          <w:p w14:paraId="5F06007F" w14:textId="77777777" w:rsidR="001A270A" w:rsidRDefault="001A270A">
            <w:pPr>
              <w:pStyle w:val="TableParagraph"/>
              <w:spacing w:before="3" w:line="206" w:lineRule="exact"/>
              <w:ind w:left="105" w:right="740"/>
              <w:rPr>
                <w:sz w:val="18"/>
              </w:rPr>
            </w:pPr>
            <w:r>
              <w:rPr>
                <w:sz w:val="18"/>
              </w:rPr>
              <w:t xml:space="preserve">-Geert Van </w:t>
            </w:r>
            <w:proofErr w:type="spellStart"/>
            <w:r>
              <w:rPr>
                <w:sz w:val="18"/>
              </w:rPr>
              <w:t>Calster</w:t>
            </w:r>
            <w:proofErr w:type="spellEnd"/>
            <w:r>
              <w:rPr>
                <w:sz w:val="18"/>
              </w:rPr>
              <w:t>, European Private International Law, Hart Publishing, Oxford and Portland, 2013.</w:t>
            </w:r>
          </w:p>
        </w:tc>
      </w:tr>
      <w:tr w:rsidR="001A270A" w14:paraId="544F3176" w14:textId="77777777" w:rsidTr="001A270A">
        <w:trPr>
          <w:trHeight w:val="1654"/>
        </w:trPr>
        <w:tc>
          <w:tcPr>
            <w:tcW w:w="7039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CBCF424" w14:textId="77777777" w:rsidR="001A270A" w:rsidRDefault="001A270A">
            <w:pPr>
              <w:pStyle w:val="TableParagraph"/>
              <w:spacing w:line="204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Examination methods and grades:</w:t>
            </w:r>
          </w:p>
          <w:p w14:paraId="37EEEAEF" w14:textId="77777777" w:rsidR="001A270A" w:rsidRDefault="001A270A">
            <w:pPr>
              <w:pStyle w:val="TableParagraph"/>
              <w:spacing w:before="2"/>
              <w:ind w:left="105" w:right="171"/>
              <w:rPr>
                <w:sz w:val="18"/>
              </w:rPr>
            </w:pPr>
            <w:r>
              <w:rPr>
                <w:sz w:val="18"/>
              </w:rPr>
              <w:t>Examination methods include mid-term exam, make-up exam, finals and make-up final exam (orally) and finals in August term</w:t>
            </w:r>
          </w:p>
          <w:p w14:paraId="63B7B534" w14:textId="77777777" w:rsidR="001A270A" w:rsidRDefault="001A270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Grades are:</w:t>
            </w:r>
          </w:p>
          <w:p w14:paraId="19AF78B0" w14:textId="77777777" w:rsidR="001A270A" w:rsidRDefault="001A270A" w:rsidP="00C17E8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Mid-term exam – up to 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  <w:p w14:paraId="7BB5C7E2" w14:textId="77777777" w:rsidR="001A270A" w:rsidRDefault="001A270A" w:rsidP="00C17E8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Participation in practical classes – up to 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  <w:p w14:paraId="07C2220A" w14:textId="77777777" w:rsidR="001A270A" w:rsidRDefault="001A270A" w:rsidP="00C17E8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Finals – up to 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  <w:p w14:paraId="3DA093B4" w14:textId="77777777" w:rsidR="001A270A" w:rsidRDefault="001A270A" w:rsidP="00C17E8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18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Passing grade is obtained if 50 points are cumulatively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</w:p>
        </w:tc>
      </w:tr>
      <w:tr w:rsidR="001A270A" w14:paraId="79BE213D" w14:textId="77777777" w:rsidTr="001A270A">
        <w:trPr>
          <w:trHeight w:val="294"/>
        </w:trPr>
        <w:tc>
          <w:tcPr>
            <w:tcW w:w="13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D296A3C" w14:textId="77777777" w:rsidR="001A270A" w:rsidRDefault="001A270A">
            <w:pPr>
              <w:pStyle w:val="TableParagraph"/>
              <w:spacing w:line="207" w:lineRule="exact"/>
              <w:ind w:left="0" w:right="9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126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8DD6EFE" w14:textId="77777777" w:rsidR="001A270A" w:rsidRDefault="001A270A">
            <w:pPr>
              <w:pStyle w:val="TableParagraph"/>
              <w:spacing w:before="45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</w:p>
        </w:tc>
        <w:tc>
          <w:tcPr>
            <w:tcW w:w="10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1F7CF08" w14:textId="77777777" w:rsidR="001A270A" w:rsidRDefault="001A270A">
            <w:pPr>
              <w:pStyle w:val="TableParagraph"/>
              <w:spacing w:before="45"/>
              <w:ind w:left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</w:t>
            </w: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ACE27B2" w14:textId="77777777" w:rsidR="001A270A" w:rsidRDefault="001A270A">
            <w:pPr>
              <w:pStyle w:val="TableParagraph"/>
              <w:spacing w:before="45"/>
              <w:ind w:left="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</w:t>
            </w:r>
          </w:p>
        </w:tc>
        <w:tc>
          <w:tcPr>
            <w:tcW w:w="11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1D59D93" w14:textId="77777777" w:rsidR="001A270A" w:rsidRDefault="001A270A">
            <w:pPr>
              <w:pStyle w:val="TableParagraph"/>
              <w:spacing w:before="45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D</w:t>
            </w:r>
          </w:p>
        </w:tc>
        <w:tc>
          <w:tcPr>
            <w:tcW w:w="11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B0AD5EF" w14:textId="77777777" w:rsidR="001A270A" w:rsidRDefault="001A270A">
            <w:pPr>
              <w:pStyle w:val="TableParagraph"/>
              <w:spacing w:before="45"/>
              <w:ind w:left="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</w:t>
            </w:r>
          </w:p>
        </w:tc>
      </w:tr>
      <w:tr w:rsidR="001A270A" w14:paraId="7BD611E8" w14:textId="77777777" w:rsidTr="001A270A">
        <w:trPr>
          <w:trHeight w:val="294"/>
        </w:trPr>
        <w:tc>
          <w:tcPr>
            <w:tcW w:w="13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2530" w14:textId="77777777" w:rsidR="001A270A" w:rsidRDefault="001A270A">
            <w:pPr>
              <w:pStyle w:val="TableParagraph"/>
              <w:spacing w:before="45"/>
              <w:ind w:left="0" w:right="9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Points</w:t>
            </w:r>
            <w:r>
              <w:rPr>
                <w:i/>
                <w:sz w:val="18"/>
                <w:vertAlign w:val="superscript"/>
              </w:rPr>
              <w:t>5)</w:t>
            </w:r>
          </w:p>
        </w:tc>
        <w:tc>
          <w:tcPr>
            <w:tcW w:w="126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5803" w14:textId="77777777" w:rsidR="001A270A" w:rsidRDefault="001A270A">
            <w:pPr>
              <w:pStyle w:val="TableParagraph"/>
              <w:spacing w:before="2"/>
              <w:ind w:left="333"/>
              <w:rPr>
                <w:i/>
                <w:sz w:val="18"/>
              </w:rPr>
            </w:pPr>
            <w:r>
              <w:rPr>
                <w:i/>
                <w:sz w:val="18"/>
              </w:rPr>
              <w:t>90-100</w:t>
            </w:r>
          </w:p>
        </w:tc>
        <w:tc>
          <w:tcPr>
            <w:tcW w:w="10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400E" w14:textId="77777777" w:rsidR="001A270A" w:rsidRDefault="001A270A">
            <w:pPr>
              <w:pStyle w:val="TableParagraph"/>
              <w:spacing w:before="2"/>
              <w:ind w:left="314" w:right="30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80-89</w:t>
            </w: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588B" w14:textId="77777777" w:rsidR="001A270A" w:rsidRDefault="001A270A">
            <w:pPr>
              <w:pStyle w:val="TableParagraph"/>
              <w:spacing w:before="2"/>
              <w:ind w:left="357" w:right="28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70-79</w:t>
            </w:r>
          </w:p>
        </w:tc>
        <w:tc>
          <w:tcPr>
            <w:tcW w:w="11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7EED" w14:textId="77777777" w:rsidR="001A270A" w:rsidRDefault="001A270A">
            <w:pPr>
              <w:pStyle w:val="TableParagraph"/>
              <w:spacing w:before="2"/>
              <w:ind w:left="315" w:right="3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60-69</w:t>
            </w:r>
          </w:p>
        </w:tc>
        <w:tc>
          <w:tcPr>
            <w:tcW w:w="11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06F2" w14:textId="77777777" w:rsidR="001A270A" w:rsidRDefault="001A270A">
            <w:pPr>
              <w:pStyle w:val="TableParagraph"/>
              <w:spacing w:before="2"/>
              <w:ind w:left="315" w:right="35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50-59</w:t>
            </w:r>
          </w:p>
        </w:tc>
      </w:tr>
      <w:tr w:rsidR="001A270A" w14:paraId="42E6292E" w14:textId="77777777" w:rsidTr="001A270A">
        <w:trPr>
          <w:trHeight w:val="1658"/>
        </w:trPr>
        <w:tc>
          <w:tcPr>
            <w:tcW w:w="7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2AF7" w14:textId="5BB0CAE7" w:rsidR="001A270A" w:rsidRPr="001A270A" w:rsidRDefault="001A270A" w:rsidP="001A270A">
            <w:pPr>
              <w:pStyle w:val="TableParagraph"/>
              <w:spacing w:before="2" w:line="20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Notes: </w:t>
            </w:r>
            <w:r w:rsidRPr="001A270A">
              <w:rPr>
                <w:sz w:val="16"/>
                <w:szCs w:val="16"/>
              </w:rPr>
              <w:t xml:space="preserve">In addition to the general institutes of Private International Law (PIL), the new program </w:t>
            </w:r>
            <w:r w:rsidR="009E6271">
              <w:rPr>
                <w:sz w:val="16"/>
                <w:szCs w:val="16"/>
              </w:rPr>
              <w:t>focuses on</w:t>
            </w:r>
            <w:r w:rsidRPr="001A270A">
              <w:rPr>
                <w:sz w:val="16"/>
                <w:szCs w:val="16"/>
              </w:rPr>
              <w:t xml:space="preserve"> </w:t>
            </w:r>
            <w:r w:rsidR="009E6271" w:rsidRPr="009E6271">
              <w:rPr>
                <w:sz w:val="16"/>
                <w:szCs w:val="16"/>
              </w:rPr>
              <w:t>EU private international law</w:t>
            </w:r>
            <w:r w:rsidR="00CB74EC">
              <w:rPr>
                <w:sz w:val="16"/>
                <w:szCs w:val="16"/>
              </w:rPr>
              <w:t>.</w:t>
            </w:r>
            <w:r w:rsidRPr="001A270A">
              <w:rPr>
                <w:sz w:val="16"/>
                <w:szCs w:val="16"/>
              </w:rPr>
              <w:t xml:space="preserve"> </w:t>
            </w:r>
            <w:r w:rsidR="00CB74EC" w:rsidRPr="00CB74EC">
              <w:rPr>
                <w:sz w:val="16"/>
                <w:szCs w:val="16"/>
              </w:rPr>
              <w:t>The PIL Act, in accordance with Article 80 of the S</w:t>
            </w:r>
            <w:r w:rsidR="001B3710">
              <w:rPr>
                <w:sz w:val="16"/>
                <w:szCs w:val="16"/>
              </w:rPr>
              <w:t>tabilization and Association Agreement</w:t>
            </w:r>
            <w:r w:rsidR="00CB74EC" w:rsidRPr="00CB74EC">
              <w:rPr>
                <w:sz w:val="16"/>
                <w:szCs w:val="16"/>
              </w:rPr>
              <w:t>, is aimed at harmonizing national law with the EU law</w:t>
            </w:r>
            <w:r w:rsidRPr="001A270A">
              <w:rPr>
                <w:sz w:val="16"/>
                <w:szCs w:val="16"/>
              </w:rPr>
              <w:t xml:space="preserve">. </w:t>
            </w:r>
            <w:r w:rsidRPr="001A270A">
              <w:rPr>
                <w:spacing w:val="2"/>
                <w:sz w:val="16"/>
                <w:szCs w:val="16"/>
              </w:rPr>
              <w:t xml:space="preserve">The </w:t>
            </w:r>
            <w:r w:rsidRPr="001A270A">
              <w:rPr>
                <w:sz w:val="16"/>
                <w:szCs w:val="16"/>
              </w:rPr>
              <w:t xml:space="preserve">new PIL explicitly provides that EU law is directly applied in the area of </w:t>
            </w:r>
            <w:r w:rsidR="00AF154A">
              <w:rPr>
                <w:sz w:val="16"/>
                <w:szCs w:val="16"/>
              </w:rPr>
              <w:t>applicable</w:t>
            </w:r>
            <w:r w:rsidRPr="001A270A">
              <w:rPr>
                <w:sz w:val="16"/>
                <w:szCs w:val="16"/>
              </w:rPr>
              <w:t xml:space="preserve"> law for contractual and non-contractual</w:t>
            </w:r>
            <w:r w:rsidRPr="001A270A">
              <w:rPr>
                <w:spacing w:val="6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obligations</w:t>
            </w:r>
            <w:r w:rsidRPr="001A270A">
              <w:rPr>
                <w:spacing w:val="8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with</w:t>
            </w:r>
            <w:r w:rsidRPr="001A270A">
              <w:rPr>
                <w:spacing w:val="10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a</w:t>
            </w:r>
            <w:r w:rsidRPr="001A270A">
              <w:rPr>
                <w:spacing w:val="8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cross-border</w:t>
            </w:r>
            <w:r w:rsidRPr="001A270A">
              <w:rPr>
                <w:spacing w:val="10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element</w:t>
            </w:r>
            <w:r w:rsidRPr="001A270A">
              <w:rPr>
                <w:spacing w:val="9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(provisions</w:t>
            </w:r>
            <w:r w:rsidRPr="001A270A">
              <w:rPr>
                <w:spacing w:val="8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of</w:t>
            </w:r>
            <w:r w:rsidRPr="001A270A">
              <w:rPr>
                <w:spacing w:val="6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the</w:t>
            </w:r>
            <w:r w:rsidRPr="001A270A">
              <w:rPr>
                <w:spacing w:val="9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law</w:t>
            </w:r>
            <w:r w:rsidRPr="001A270A">
              <w:rPr>
                <w:spacing w:val="8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are</w:t>
            </w:r>
            <w:r w:rsidRPr="001A270A">
              <w:rPr>
                <w:spacing w:val="8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interpreted</w:t>
            </w:r>
            <w:r w:rsidRPr="001A270A">
              <w:rPr>
                <w:spacing w:val="7"/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>applied in accordance with Regulations No.</w:t>
            </w:r>
            <w:r w:rsidR="00AF154A">
              <w:rPr>
                <w:sz w:val="16"/>
                <w:szCs w:val="16"/>
              </w:rPr>
              <w:t xml:space="preserve"> </w:t>
            </w:r>
            <w:r w:rsidRPr="001A270A">
              <w:rPr>
                <w:sz w:val="16"/>
                <w:szCs w:val="16"/>
              </w:rPr>
              <w:t xml:space="preserve">593/2008 and 864/2007 - Rome I and Rome II). Also, the </w:t>
            </w:r>
            <w:r w:rsidR="009A7D5A">
              <w:rPr>
                <w:sz w:val="16"/>
                <w:szCs w:val="16"/>
              </w:rPr>
              <w:t xml:space="preserve">rules on </w:t>
            </w:r>
            <w:r w:rsidRPr="001A270A">
              <w:rPr>
                <w:sz w:val="16"/>
                <w:szCs w:val="16"/>
              </w:rPr>
              <w:t>applicable law for succession and maintenance obligations</w:t>
            </w:r>
            <w:r w:rsidR="00351297">
              <w:rPr>
                <w:sz w:val="16"/>
                <w:szCs w:val="16"/>
              </w:rPr>
              <w:t>, as well as some rules on international jurisdiction</w:t>
            </w:r>
            <w:r w:rsidR="00DC70A8">
              <w:rPr>
                <w:sz w:val="16"/>
                <w:szCs w:val="16"/>
              </w:rPr>
              <w:t xml:space="preserve"> to the great extent mirror the respective EU legislation.</w:t>
            </w:r>
            <w:r w:rsidRPr="001A270A">
              <w:rPr>
                <w:sz w:val="16"/>
                <w:szCs w:val="16"/>
              </w:rPr>
              <w:t xml:space="preserve"> Based on the innovative program, the most important practice of the European Court of Justice is addressed. In line with the above, the list of literature </w:t>
            </w:r>
            <w:r w:rsidR="00630D8D">
              <w:rPr>
                <w:sz w:val="16"/>
                <w:szCs w:val="16"/>
              </w:rPr>
              <w:t>contains the references on</w:t>
            </w:r>
            <w:r w:rsidRPr="001A270A">
              <w:rPr>
                <w:sz w:val="16"/>
                <w:szCs w:val="16"/>
              </w:rPr>
              <w:t xml:space="preserve"> EU PIL.</w:t>
            </w:r>
          </w:p>
          <w:p w14:paraId="36826194" w14:textId="1D9793D3" w:rsidR="001A270A" w:rsidRDefault="001A270A">
            <w:pPr>
              <w:pStyle w:val="TableParagraph"/>
              <w:spacing w:before="3" w:line="206" w:lineRule="exact"/>
              <w:ind w:left="105" w:right="99"/>
              <w:jc w:val="both"/>
              <w:rPr>
                <w:sz w:val="18"/>
              </w:rPr>
            </w:pPr>
          </w:p>
        </w:tc>
      </w:tr>
    </w:tbl>
    <w:p w14:paraId="12C6AF51" w14:textId="77777777" w:rsidR="001A270A" w:rsidRDefault="001A270A" w:rsidP="001A270A">
      <w:pPr>
        <w:widowControl/>
        <w:autoSpaceDE/>
        <w:autoSpaceDN/>
        <w:rPr>
          <w:sz w:val="18"/>
        </w:rPr>
        <w:sectPr w:rsidR="001A270A">
          <w:pgSz w:w="9980" w:h="14180"/>
          <w:pgMar w:top="1180" w:right="1300" w:bottom="1240" w:left="1300" w:header="729" w:footer="1053" w:gutter="0"/>
          <w:pgNumType w:start="179"/>
          <w:cols w:space="720"/>
        </w:sectPr>
      </w:pPr>
    </w:p>
    <w:p w14:paraId="22EC006B" w14:textId="69B7EDF3" w:rsidR="001A270A" w:rsidRDefault="001A270A" w:rsidP="001A270A">
      <w:pPr>
        <w:pStyle w:val="BodyText"/>
        <w:rPr>
          <w:sz w:val="20"/>
        </w:rPr>
      </w:pPr>
    </w:p>
    <w:p w14:paraId="6ECA5960" w14:textId="77777777" w:rsidR="00C459B0" w:rsidRDefault="00351297"/>
    <w:sectPr w:rsidR="00C45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174"/>
    <w:multiLevelType w:val="hybridMultilevel"/>
    <w:tmpl w:val="C4684B12"/>
    <w:lvl w:ilvl="0" w:tplc="5F825AD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ar-SA"/>
      </w:rPr>
    </w:lvl>
    <w:lvl w:ilvl="1" w:tplc="B244567A">
      <w:numFmt w:val="bullet"/>
      <w:lvlText w:val="•"/>
      <w:lvlJc w:val="left"/>
      <w:pPr>
        <w:ind w:left="1440" w:hanging="360"/>
      </w:pPr>
      <w:rPr>
        <w:lang w:val="en-US" w:eastAsia="en-US" w:bidi="ar-SA"/>
      </w:rPr>
    </w:lvl>
    <w:lvl w:ilvl="2" w:tplc="187CBBF6">
      <w:numFmt w:val="bullet"/>
      <w:lvlText w:val="•"/>
      <w:lvlJc w:val="left"/>
      <w:pPr>
        <w:ind w:left="2061" w:hanging="360"/>
      </w:pPr>
      <w:rPr>
        <w:lang w:val="en-US" w:eastAsia="en-US" w:bidi="ar-SA"/>
      </w:rPr>
    </w:lvl>
    <w:lvl w:ilvl="3" w:tplc="4BCE98FE">
      <w:numFmt w:val="bullet"/>
      <w:lvlText w:val="•"/>
      <w:lvlJc w:val="left"/>
      <w:pPr>
        <w:ind w:left="2682" w:hanging="360"/>
      </w:pPr>
      <w:rPr>
        <w:lang w:val="en-US" w:eastAsia="en-US" w:bidi="ar-SA"/>
      </w:rPr>
    </w:lvl>
    <w:lvl w:ilvl="4" w:tplc="AF9221B4">
      <w:numFmt w:val="bullet"/>
      <w:lvlText w:val="•"/>
      <w:lvlJc w:val="left"/>
      <w:pPr>
        <w:ind w:left="3303" w:hanging="360"/>
      </w:pPr>
      <w:rPr>
        <w:lang w:val="en-US" w:eastAsia="en-US" w:bidi="ar-SA"/>
      </w:rPr>
    </w:lvl>
    <w:lvl w:ilvl="5" w:tplc="590A4C34">
      <w:numFmt w:val="bullet"/>
      <w:lvlText w:val="•"/>
      <w:lvlJc w:val="left"/>
      <w:pPr>
        <w:ind w:left="3924" w:hanging="360"/>
      </w:pPr>
      <w:rPr>
        <w:lang w:val="en-US" w:eastAsia="en-US" w:bidi="ar-SA"/>
      </w:rPr>
    </w:lvl>
    <w:lvl w:ilvl="6" w:tplc="C47A262C">
      <w:numFmt w:val="bullet"/>
      <w:lvlText w:val="•"/>
      <w:lvlJc w:val="left"/>
      <w:pPr>
        <w:ind w:left="4545" w:hanging="360"/>
      </w:pPr>
      <w:rPr>
        <w:lang w:val="en-US" w:eastAsia="en-US" w:bidi="ar-SA"/>
      </w:rPr>
    </w:lvl>
    <w:lvl w:ilvl="7" w:tplc="C87857B8">
      <w:numFmt w:val="bullet"/>
      <w:lvlText w:val="•"/>
      <w:lvlJc w:val="left"/>
      <w:pPr>
        <w:ind w:left="5166" w:hanging="360"/>
      </w:pPr>
      <w:rPr>
        <w:lang w:val="en-US" w:eastAsia="en-US" w:bidi="ar-SA"/>
      </w:rPr>
    </w:lvl>
    <w:lvl w:ilvl="8" w:tplc="A8DEDB80">
      <w:numFmt w:val="bullet"/>
      <w:lvlText w:val="•"/>
      <w:lvlJc w:val="left"/>
      <w:pPr>
        <w:ind w:left="5787" w:hanging="360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CD"/>
    <w:rsid w:val="00080F59"/>
    <w:rsid w:val="001A270A"/>
    <w:rsid w:val="001A6AAA"/>
    <w:rsid w:val="001B3710"/>
    <w:rsid w:val="001D6B46"/>
    <w:rsid w:val="00202AE9"/>
    <w:rsid w:val="002C15BC"/>
    <w:rsid w:val="00351297"/>
    <w:rsid w:val="00396ADF"/>
    <w:rsid w:val="00427DF0"/>
    <w:rsid w:val="00630D8D"/>
    <w:rsid w:val="00641961"/>
    <w:rsid w:val="0084710D"/>
    <w:rsid w:val="00851EC4"/>
    <w:rsid w:val="0087134D"/>
    <w:rsid w:val="009A7D5A"/>
    <w:rsid w:val="009B167E"/>
    <w:rsid w:val="009E6271"/>
    <w:rsid w:val="00A635D5"/>
    <w:rsid w:val="00A845C2"/>
    <w:rsid w:val="00AC376B"/>
    <w:rsid w:val="00AF154A"/>
    <w:rsid w:val="00B05D91"/>
    <w:rsid w:val="00CB74EC"/>
    <w:rsid w:val="00D24ACD"/>
    <w:rsid w:val="00DB0966"/>
    <w:rsid w:val="00DC70A8"/>
    <w:rsid w:val="00DF0A26"/>
    <w:rsid w:val="00E0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BCAD"/>
  <w15:chartTrackingRefBased/>
  <w15:docId w15:val="{CD7111A9-5537-43A0-8F29-2F2CBB0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A27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27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A270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citaonica16</dc:creator>
  <cp:keywords/>
  <dc:description/>
  <cp:lastModifiedBy>Maja</cp:lastModifiedBy>
  <cp:revision>2</cp:revision>
  <dcterms:created xsi:type="dcterms:W3CDTF">2021-05-20T08:47:00Z</dcterms:created>
  <dcterms:modified xsi:type="dcterms:W3CDTF">2021-05-20T08:47:00Z</dcterms:modified>
</cp:coreProperties>
</file>